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56"/>
          <w:szCs w:val="56"/>
        </w:rPr>
        <w:drawing>
          <wp:inline distB="0" distT="0" distL="0" distR="0">
            <wp:extent cx="1341910" cy="1216800"/>
            <wp:effectExtent b="0" l="0" r="0" t="0"/>
            <wp:docPr descr="LOGO UAZ 2.png" id="17" name="image1.png"/>
            <a:graphic>
              <a:graphicData uri="http://schemas.openxmlformats.org/drawingml/2006/picture">
                <pic:pic>
                  <pic:nvPicPr>
                    <pic:cNvPr descr="LOGO UAZ 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1910" cy="121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color w:val="664d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56"/>
          <w:szCs w:val="56"/>
          <w:rtl w:val="0"/>
        </w:rPr>
        <w:t xml:space="preserve">UNIVERSIDAD AUTÓNOMA DE ZACATECAS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rFonts w:ascii="Times New Roman" w:cs="Times New Roman" w:eastAsia="Times New Roman" w:hAnsi="Times New Roman"/>
          <w:i w:val="1"/>
          <w:color w:val="664d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44"/>
          <w:szCs w:val="4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664d00"/>
          <w:sz w:val="44"/>
          <w:szCs w:val="44"/>
          <w:rtl w:val="0"/>
        </w:rPr>
        <w:t xml:space="preserve">Francisco García Salinas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44"/>
          <w:szCs w:val="44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pStyle w:val="Subtitle"/>
        <w:rPr>
          <w:color w:val="a5a5a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ÁREA DE INGENIERÍAS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rtl w:val="0"/>
        </w:rPr>
        <w:t xml:space="preserve">TECNOLÓGICAS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UNIDAD ACADÉMICA DE INGENIERÍA I </w:t>
      </w:r>
    </w:p>
    <w:p w:rsidR="00000000" w:rsidDel="00000000" w:rsidP="00000000" w:rsidRDefault="00000000" w:rsidRPr="00000000" w14:paraId="0000000A">
      <w:pPr>
        <w:pStyle w:val="Subtitl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PROGRAMA DE INGENIERÍA EN MANUFACTURA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INGLÉS II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i w:val="1"/>
          <w:color w:val="000000"/>
          <w:sz w:val="36"/>
          <w:szCs w:val="36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2240" w:w="15840" w:orient="landscape"/>
          <w:pgMar w:bottom="1135" w:top="1134" w:left="720" w:right="720" w:header="708" w:footer="708"/>
          <w:pgNumType w:start="1"/>
          <w:titlePg w:val="1"/>
        </w:sect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36"/>
          <w:szCs w:val="36"/>
          <w:rtl w:val="0"/>
        </w:rPr>
        <w:t xml:space="preserve">Unidad Didáctica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33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92"/>
        <w:gridCol w:w="3969"/>
        <w:gridCol w:w="709"/>
        <w:gridCol w:w="3260"/>
        <w:gridCol w:w="3403"/>
        <w:tblGridChange w:id="0">
          <w:tblGrid>
            <w:gridCol w:w="2692"/>
            <w:gridCol w:w="3969"/>
            <w:gridCol w:w="709"/>
            <w:gridCol w:w="3260"/>
            <w:gridCol w:w="340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SEMESTRE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9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SEGUNDO</w:t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EJE FORMATIVO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C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HORAS TOTALES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E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80 horas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ACADEMIA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1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INGLÉS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CRÉDITOS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3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Style w:val="Subtitle"/>
              <w:spacing w:line="360" w:lineRule="auto"/>
              <w:ind w:left="34" w:hanging="34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6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ANTECEDENTE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8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INGLÉS I</w:t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FECHA DE ELABORACIÓN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B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DICIEMBRE 2020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CONSECUENTE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D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INGLÉS III</w:t>
            </w:r>
          </w:p>
        </w:tc>
        <w:tc>
          <w:tcPr/>
          <w:p w:rsidR="00000000" w:rsidDel="00000000" w:rsidP="00000000" w:rsidRDefault="00000000" w:rsidRPr="00000000" w14:paraId="0000002E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PRÓXIMA REVISIÓN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30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DICIEMBRE 2021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Programa de la asignatura INGLÉS II con las competencias genéricas y disciplinares para el aprendizaje.</w:t>
      </w:r>
    </w:p>
    <w:p w:rsidR="00000000" w:rsidDel="00000000" w:rsidP="00000000" w:rsidRDefault="00000000" w:rsidRPr="00000000" w14:paraId="00000036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 </w:t>
      </w:r>
    </w:p>
    <w:tbl>
      <w:tblPr>
        <w:tblStyle w:val="Table2"/>
        <w:tblW w:w="14540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4540"/>
        <w:tblGridChange w:id="0">
          <w:tblGrid>
            <w:gridCol w:w="14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COMPETENCIAS GENÉRICAS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Controlar la concordancia entre sujeto y verbo.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Usar los comparativos y superlativos esenciales.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Fundamentos de comprensión lectora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Fundamentos de comprensión 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Fundamentos de expresión 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Fundamentos de expresión escrita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433.000000000002" w:type="dxa"/>
        <w:jc w:val="left"/>
        <w:tblInd w:w="-11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1165"/>
        <w:gridCol w:w="567"/>
        <w:gridCol w:w="550"/>
        <w:gridCol w:w="567"/>
        <w:gridCol w:w="584"/>
        <w:tblGridChange w:id="0">
          <w:tblGrid>
            <w:gridCol w:w="11165"/>
            <w:gridCol w:w="567"/>
            <w:gridCol w:w="550"/>
            <w:gridCol w:w="567"/>
            <w:gridCol w:w="584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COMPETENCIAS DISCIPLINARES DEL EJE FORMATIVO DE </w:t>
            </w:r>
          </w:p>
          <w:p w:rsidR="00000000" w:rsidDel="00000000" w:rsidP="00000000" w:rsidRDefault="00000000" w:rsidRPr="00000000" w14:paraId="0000004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CIENCIAS BÁSICAS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Repaso de los temas vistos en inglés I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Comprensión lectora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Comprensión oral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Expresión oral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Expresión escrita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06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English I Review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5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Simple negative, interrogative and affirmative sentences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Verb to be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Present, present continuous and simple past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Comparatives and superlatives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Common engineering vocabulary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8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8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Comprender y utilizar expresiones cotidianas destinadas a cubrir necesidades sencillas como, por ejemplo, saludar, presentarse o preguntar y expresar gustos y preferencias así como vocabulario fundamental en tecnología e ingeniería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A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Repasar lo visto en la materia de Inglés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Fundamentos del idioma inglés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0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Exposición del docente y ejercicios de participación de los alumnos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Ejercicios en el pizarrón y en el aula que fomenten la participación de los alumnos 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Examen y participación</w:t>
            </w:r>
          </w:p>
          <w:p w:rsidR="00000000" w:rsidDel="00000000" w:rsidP="00000000" w:rsidRDefault="00000000" w:rsidRPr="00000000" w14:paraId="000000B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C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D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Organiza las actividades de participación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D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E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Lecturas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Ejemplos prácticos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F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F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0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10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Reading 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15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1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Activity 1 “The Rise of Teotihuacán”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Activity 2 “Extinction of the dinosaurs”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Activity 3 “The Geologic History of the Mediterranean”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2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2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Realizará lecturas que le permitan ejercitar la comprensión lectora en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A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Comprender textos en inglés sobre diferentes temas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4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Lectura</w:t>
            </w:r>
          </w:p>
          <w:p w:rsidR="00000000" w:rsidDel="00000000" w:rsidP="00000000" w:rsidRDefault="00000000" w:rsidRPr="00000000" w14:paraId="0000014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1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Se revisarán en clase lecturas similares a las que se encuentran en el examen TOEFL. Se discutirán de manera grupal.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Resolución de ejercicios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Examen y participación</w:t>
            </w:r>
          </w:p>
          <w:p w:rsidR="00000000" w:rsidDel="00000000" w:rsidP="00000000" w:rsidRDefault="00000000" w:rsidRPr="00000000" w14:paraId="0000015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6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7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Organiza las actividades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7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8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Lecturas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9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9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A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1A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20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B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1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2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3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4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5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Listening Activity 6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C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C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Realizará actividades similares a los ejercicios del TOEFL en la sección de comprensión oral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A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DC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Comprender conversaciones en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E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Comprensión oral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E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2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F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Hacer ejercicios de comprensión oral en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Contestar preguntas acerca de una conversación en inglés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Examen</w:t>
            </w:r>
          </w:p>
          <w:p w:rsidR="00000000" w:rsidDel="00000000" w:rsidP="00000000" w:rsidRDefault="00000000" w:rsidRPr="00000000" w14:paraId="000001F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0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0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1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Organiza la actividad y resuelve dudas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2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2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Audios de ETS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3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3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4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24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20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Independent speaking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Independent speaking practice 1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Independent speaking practice 2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Independent speaking practice 3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6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6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Capaz de hablar sobre tópicos familiares y opinar sobre temas particulares. También exponer brevemente en inglés sobre tópicos de ingeniería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C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E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Comunicación oral en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8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Comunicación oral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0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4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Cada alumno realizará los ejercicios de speaking de forma individual guiados por el maestro.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Hablar en inglés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Exposición</w:t>
            </w:r>
          </w:p>
          <w:p w:rsidR="00000000" w:rsidDel="00000000" w:rsidP="00000000" w:rsidRDefault="00000000" w:rsidRPr="00000000" w14:paraId="0000029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A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A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B7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Organiza el grupo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C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C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D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D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2E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E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2E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 20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Integrated writing 1</w:t>
            </w:r>
          </w:p>
          <w:p w:rsidR="00000000" w:rsidDel="00000000" w:rsidP="00000000" w:rsidRDefault="00000000" w:rsidRPr="00000000" w14:paraId="000002F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Integrated writing 2</w:t>
            </w:r>
          </w:p>
          <w:p w:rsidR="00000000" w:rsidDel="00000000" w:rsidP="00000000" w:rsidRDefault="00000000" w:rsidRPr="00000000" w14:paraId="000002F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Writing for an Academic Discussion 1</w:t>
            </w:r>
          </w:p>
          <w:p w:rsidR="00000000" w:rsidDel="00000000" w:rsidP="00000000" w:rsidRDefault="00000000" w:rsidRPr="00000000" w14:paraId="000002F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Writing for an Academic Discussion 2 </w:t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0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0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Escribir sobre un tópico dado y escribir para expresar su opinión.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1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9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B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2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Escribir en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2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Escritura en inglés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2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D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1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3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El alumno escribirá su opinión sobre algún tema y escribirá acerca de algo que leyó y/o escucho.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Escribir un ensayo </w:t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Actividades graduadas</w:t>
            </w:r>
          </w:p>
          <w:p w:rsidR="00000000" w:rsidDel="00000000" w:rsidP="00000000" w:rsidRDefault="00000000" w:rsidRPr="00000000" w14:paraId="0000033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4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4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5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Organización de actividades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5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6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7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37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6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400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Políticas del curso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No se permite la entrada con alimentos ni bebidas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Perfil docente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Calificación ordinaria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Se pondera cada unidad de aprendizaje por separado, la calificación ordinaria consta del promedio de las ponderaciones.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 las asistencias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Derecho a faltar al 20 % del curso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0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682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2943"/>
        <w:gridCol w:w="1985"/>
        <w:gridCol w:w="2484"/>
        <w:gridCol w:w="7270"/>
        <w:tblGridChange w:id="0">
          <w:tblGrid>
            <w:gridCol w:w="2943"/>
            <w:gridCol w:w="1985"/>
            <w:gridCol w:w="2484"/>
            <w:gridCol w:w="727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En la realización de esta Unidad Didáctica participaron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9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Elaborada por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Cecilio Jesús Martínez González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9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En la revisión de este programa participaron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Luis Ernesto Mendoza Navarro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B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Coordinador de la Academia 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Claudia Paulina Pérez Velázquez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2" w:type="first"/>
      <w:type w:val="nextPage"/>
      <w:pgSz w:h="12240" w:w="15840" w:orient="landscape"/>
      <w:pgMar w:bottom="1135" w:top="1134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-12699</wp:posOffset>
              </wp:positionV>
              <wp:extent cx="10287000" cy="31432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0600" y="3660938"/>
                        <a:ext cx="10210800" cy="2381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-12699</wp:posOffset>
              </wp:positionV>
              <wp:extent cx="10287000" cy="314325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228600</wp:posOffset>
              </wp:positionV>
              <wp:extent cx="10287000" cy="31432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0600" y="3660938"/>
                        <a:ext cx="10210800" cy="2381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228600</wp:posOffset>
              </wp:positionV>
              <wp:extent cx="10287000" cy="314325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88900</wp:posOffset>
              </wp:positionV>
              <wp:extent cx="9534525" cy="31432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616838" y="3660938"/>
                        <a:ext cx="9458325" cy="2381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88900</wp:posOffset>
              </wp:positionV>
              <wp:extent cx="9534525" cy="314325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345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-342899</wp:posOffset>
              </wp:positionV>
              <wp:extent cx="10172700" cy="5810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97750" y="3527588"/>
                        <a:ext cx="10096500" cy="504825"/>
                      </a:xfrm>
                      <a:custGeom>
                        <a:rect b="b" l="l" r="r" t="t"/>
                        <a:pathLst>
                          <a:path extrusionOk="0" h="504825" w="10096500">
                            <a:moveTo>
                              <a:pt x="0" y="0"/>
                            </a:moveTo>
                            <a:lnTo>
                              <a:pt x="0" y="504825"/>
                            </a:lnTo>
                            <a:lnTo>
                              <a:pt x="10096500" y="504825"/>
                            </a:lnTo>
                            <a:lnTo>
                              <a:pt x="100965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-342899</wp:posOffset>
              </wp:positionV>
              <wp:extent cx="10172700" cy="581025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72700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-190499</wp:posOffset>
              </wp:positionV>
              <wp:extent cx="10210800" cy="4572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8700" y="3589500"/>
                        <a:ext cx="10134600" cy="381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-190499</wp:posOffset>
              </wp:positionV>
              <wp:extent cx="10210800" cy="45720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108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a5a5a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ddddd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ddddd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ddddd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dddddd" w:space="4" w:sz="8" w:val="single"/>
      </w:pBdr>
      <w:spacing w:after="300" w:line="240" w:lineRule="auto"/>
    </w:pPr>
    <w:rPr>
      <w:rFonts w:ascii="Cambria" w:cs="Cambria" w:eastAsia="Cambria" w:hAnsi="Cambria"/>
      <w:color w:val="000000"/>
      <w:sz w:val="52"/>
      <w:szCs w:val="52"/>
    </w:rPr>
  </w:style>
  <w:style w:type="paragraph" w:styleId="Normal" w:default="1">
    <w:name w:val="Normal"/>
    <w:qFormat w:val="1"/>
    <w:rsid w:val="004D1E72"/>
  </w:style>
  <w:style w:type="paragraph" w:styleId="Ttulo1">
    <w:name w:val="heading 1"/>
    <w:basedOn w:val="Normal"/>
    <w:next w:val="Normal"/>
    <w:link w:val="Ttulo1Car"/>
    <w:uiPriority w:val="9"/>
    <w:qFormat w:val="1"/>
    <w:rsid w:val="005E161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a5a5a5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5E161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ddddd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5E161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dddddd" w:themeColor="accent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5E161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dddddd" w:themeColor="accent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1543C4"/>
    <w:pPr>
      <w:pBdr>
        <w:bottom w:color="ddddd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000000" w:themeColor="text2" w:themeShade="0000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 w:val="1"/>
    <w:rsid w:val="00B16C5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16C57"/>
  </w:style>
  <w:style w:type="paragraph" w:styleId="Piedepgina">
    <w:name w:val="footer"/>
    <w:basedOn w:val="Normal"/>
    <w:link w:val="PiedepginaCar"/>
    <w:uiPriority w:val="99"/>
    <w:unhideWhenUsed w:val="1"/>
    <w:rsid w:val="00B16C5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16C5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16C5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16C57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BA33D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pPr>
      <w:spacing w:after="0" w:line="240" w:lineRule="auto"/>
      <w:jc w:val="center"/>
    </w:pPr>
    <w:rPr>
      <w:rFonts w:ascii="Arial Narrow" w:cs="Arial Narrow" w:eastAsia="Arial Narrow" w:hAnsi="Arial Narrow"/>
      <w:b w:val="1"/>
      <w:sz w:val="24"/>
      <w:szCs w:val="24"/>
    </w:rPr>
  </w:style>
  <w:style w:type="character" w:styleId="SubttuloCar" w:customStyle="1">
    <w:name w:val="Subtítulo Car"/>
    <w:basedOn w:val="Fuentedeprrafopredeter"/>
    <w:link w:val="Subttulo"/>
    <w:rsid w:val="00BA33D8"/>
    <w:rPr>
      <w:rFonts w:ascii="Arial Narrow" w:cs="Times New Roman" w:eastAsia="Times New Roman" w:hAnsi="Arial Narrow"/>
      <w:b w:val="1"/>
      <w:bCs w:val="1"/>
      <w:sz w:val="24"/>
      <w:szCs w:val="24"/>
      <w:lang w:eastAsia="es-ES"/>
    </w:rPr>
  </w:style>
  <w:style w:type="table" w:styleId="Sombreadoclaro-nfasis5">
    <w:name w:val="Light Shading Accent 5"/>
    <w:basedOn w:val="Tablanormal"/>
    <w:uiPriority w:val="60"/>
    <w:rsid w:val="00BA33D8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</w:style>
  <w:style w:type="character" w:styleId="Hipervnculo">
    <w:name w:val="Hyperlink"/>
    <w:basedOn w:val="Fuentedeprrafopredeter"/>
    <w:uiPriority w:val="99"/>
    <w:unhideWhenUsed w:val="1"/>
    <w:rsid w:val="00F2333F"/>
    <w:rPr>
      <w:color w:val="5f5f5f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 w:val="1"/>
    <w:rsid w:val="005E1611"/>
    <w:rPr>
      <w:i w:val="1"/>
      <w:iCs w:val="1"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5E1611"/>
    <w:rPr>
      <w:i w:val="1"/>
      <w:iCs w:val="1"/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 w:val="1"/>
    <w:rsid w:val="005E1611"/>
    <w:rPr>
      <w:color w:val="808080"/>
    </w:rPr>
  </w:style>
  <w:style w:type="character" w:styleId="Ttulo1Car" w:customStyle="1">
    <w:name w:val="Título 1 Car"/>
    <w:basedOn w:val="Fuentedeprrafopredeter"/>
    <w:link w:val="Ttulo1"/>
    <w:uiPriority w:val="9"/>
    <w:rsid w:val="005E1611"/>
    <w:rPr>
      <w:rFonts w:asciiTheme="majorHAnsi" w:cstheme="majorBidi" w:eastAsiaTheme="majorEastAsia" w:hAnsiTheme="majorHAnsi"/>
      <w:b w:val="1"/>
      <w:bCs w:val="1"/>
      <w:color w:val="a5a5a5" w:themeColor="accent1" w:themeShade="0000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5E1611"/>
    <w:rPr>
      <w:rFonts w:asciiTheme="majorHAnsi" w:cstheme="majorBidi" w:eastAsiaTheme="majorEastAsia" w:hAnsiTheme="majorHAnsi"/>
      <w:b w:val="1"/>
      <w:bCs w:val="1"/>
      <w:color w:val="ddddd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5E1611"/>
    <w:rPr>
      <w:rFonts w:asciiTheme="majorHAnsi" w:cstheme="majorBidi" w:eastAsiaTheme="majorEastAsia" w:hAnsiTheme="majorHAnsi"/>
      <w:b w:val="1"/>
      <w:bCs w:val="1"/>
      <w:color w:val="dddddd" w:themeColor="accent1"/>
    </w:rPr>
  </w:style>
  <w:style w:type="character" w:styleId="Ttulo4Car" w:customStyle="1">
    <w:name w:val="Título 4 Car"/>
    <w:basedOn w:val="Fuentedeprrafopredeter"/>
    <w:link w:val="Ttulo4"/>
    <w:uiPriority w:val="9"/>
    <w:rsid w:val="005E1611"/>
    <w:rPr>
      <w:rFonts w:asciiTheme="majorHAnsi" w:cstheme="majorBidi" w:eastAsiaTheme="majorEastAsia" w:hAnsiTheme="majorHAnsi"/>
      <w:b w:val="1"/>
      <w:bCs w:val="1"/>
      <w:i w:val="1"/>
      <w:iCs w:val="1"/>
      <w:color w:val="dddddd" w:themeColor="accent1"/>
    </w:rPr>
  </w:style>
  <w:style w:type="character" w:styleId="TtuloCar" w:customStyle="1">
    <w:name w:val="Título Car"/>
    <w:basedOn w:val="Fuentedeprrafopredeter"/>
    <w:link w:val="Ttulo"/>
    <w:uiPriority w:val="10"/>
    <w:rsid w:val="001543C4"/>
    <w:rPr>
      <w:rFonts w:asciiTheme="majorHAnsi" w:cstheme="majorBidi" w:eastAsiaTheme="majorEastAsia" w:hAnsiTheme="majorHAnsi"/>
      <w:color w:val="000000" w:themeColor="text2" w:themeShade="0000BF"/>
      <w:spacing w:val="5"/>
      <w:kern w:val="28"/>
      <w:sz w:val="52"/>
      <w:szCs w:val="52"/>
    </w:rPr>
  </w:style>
  <w:style w:type="character" w:styleId="nfasis">
    <w:name w:val="Emphasis"/>
    <w:basedOn w:val="Fuentedeprrafopredeter"/>
    <w:uiPriority w:val="20"/>
    <w:qFormat w:val="1"/>
    <w:rsid w:val="007E028D"/>
    <w:rPr>
      <w:i w:val="1"/>
      <w:iCs w:val="1"/>
    </w:rPr>
  </w:style>
  <w:style w:type="table" w:styleId="Sombreadomedio1-nfasis11" w:customStyle="1">
    <w:name w:val="Sombreado medio 1 - Énfasis 11"/>
    <w:basedOn w:val="Tablanormal"/>
    <w:uiPriority w:val="63"/>
    <w:rsid w:val="00646190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5e5e5" w:space="0" w:sz="8" w:themeColor="accent1" w:themeTint="0000BF" w:val="sing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5e5e5" w:space="0" w:sz="6" w:themeColor="accent1" w:themeTint="0000BF" w:val="doub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claro">
    <w:name w:val="Light Shading"/>
    <w:basedOn w:val="Tablanormal"/>
    <w:uiPriority w:val="60"/>
    <w:rsid w:val="00DE7AF2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Prrafodelista">
    <w:name w:val="List Paragraph"/>
    <w:basedOn w:val="Normal"/>
    <w:uiPriority w:val="34"/>
    <w:qFormat w:val="1"/>
    <w:rsid w:val="002E3934"/>
    <w:pPr>
      <w:ind w:left="720"/>
      <w:contextualSpacing w:val="1"/>
    </w:pPr>
  </w:style>
  <w:style w:type="table" w:styleId="a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1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2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3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4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5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6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7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8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9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 Narrow" w:cs="Arial Narrow" w:eastAsia="Arial Narrow" w:hAnsi="Arial Narrow"/>
      <w:b w:val="1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qKrdAdDdCfM4oHtAzR6fZ/UGA==">CgMxLjA4AHIhMXVwUXdxblpKRGsycmJDbXdCRHdTM05EU1d2aEhmZlVV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2017-08-16T03:15:00Z</dcterms:created>
  <dc:creator>Chilo</dc:creator>
</cp:coreProperties>
</file>